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AB133" w14:textId="05977C65" w:rsidR="00516EAF" w:rsidRDefault="00516EAF" w:rsidP="00516EAF">
      <w:pPr>
        <w:pStyle w:val="Title"/>
        <w:jc w:val="center"/>
        <w:rPr>
          <w:sz w:val="44"/>
          <w:szCs w:val="44"/>
        </w:rPr>
      </w:pPr>
      <w:r>
        <w:rPr>
          <w:noProof/>
          <w:sz w:val="44"/>
          <w:szCs w:val="44"/>
        </w:rPr>
        <w:drawing>
          <wp:inline distT="0" distB="0" distL="0" distR="0" wp14:anchorId="4CAECC32" wp14:editId="14031971">
            <wp:extent cx="1950720" cy="908685"/>
            <wp:effectExtent l="0" t="0" r="0" b="5715"/>
            <wp:docPr id="161021507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90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B7DB3B" w14:textId="6D8EB556" w:rsidR="00516EAF" w:rsidRDefault="00516EAF" w:rsidP="00ED0FE0">
      <w:pPr>
        <w:pStyle w:val="Title"/>
        <w:rPr>
          <w:sz w:val="44"/>
          <w:szCs w:val="44"/>
        </w:rPr>
      </w:pPr>
      <w:r w:rsidRPr="00516EAF">
        <w:rPr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7677707" wp14:editId="674C1A02">
                <wp:simplePos x="0" y="0"/>
                <wp:positionH relativeFrom="margin">
                  <wp:align>left</wp:align>
                </wp:positionH>
                <wp:positionV relativeFrom="paragraph">
                  <wp:posOffset>152400</wp:posOffset>
                </wp:positionV>
                <wp:extent cx="2857500" cy="5029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50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C366E4" w14:textId="5F77337F" w:rsidR="00516EAF" w:rsidRDefault="00516EAF">
                            <w:r w:rsidRPr="00516EAF">
                              <w:drawing>
                                <wp:inline distT="0" distB="0" distL="0" distR="0" wp14:anchorId="7AFF7436" wp14:editId="189A76DC">
                                  <wp:extent cx="2665730" cy="441960"/>
                                  <wp:effectExtent l="0" t="0" r="0" b="0"/>
                                  <wp:docPr id="104623677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65730" cy="4419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67770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2pt;width:225pt;height:39.6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" stroked="f">
                <v:textbox>
                  <w:txbxContent>
                    <w:p w14:paraId="19C366E4" w14:textId="5F77337F" w:rsidR="00516EAF" w:rsidRDefault="00516EAF">
                      <w:r w:rsidRPr="00516EAF">
                        <w:drawing>
                          <wp:inline distT="0" distB="0" distL="0" distR="0" wp14:anchorId="7AFF7436" wp14:editId="189A76DC">
                            <wp:extent cx="2665730" cy="441960"/>
                            <wp:effectExtent l="0" t="0" r="0" b="0"/>
                            <wp:docPr id="104623677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65730" cy="4419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sz w:val="44"/>
          <w:szCs w:val="44"/>
        </w:rPr>
        <w:t>VP5000 and VP800</w:t>
      </w:r>
      <w:r w:rsidR="00ED5D5C">
        <w:rPr>
          <w:sz w:val="44"/>
          <w:szCs w:val="44"/>
        </w:rPr>
        <w:t>0</w:t>
      </w:r>
      <w:r>
        <w:rPr>
          <w:sz w:val="44"/>
          <w:szCs w:val="44"/>
        </w:rPr>
        <w:t xml:space="preserve"> </w:t>
      </w:r>
    </w:p>
    <w:p w14:paraId="1430087C" w14:textId="45AE2833" w:rsidR="00346C19" w:rsidRPr="00F20CBC" w:rsidRDefault="00000000" w:rsidP="00ED0FE0">
      <w:pPr>
        <w:pStyle w:val="Title"/>
        <w:rPr>
          <w:sz w:val="44"/>
          <w:szCs w:val="44"/>
        </w:rPr>
      </w:pPr>
      <w:r w:rsidRPr="00F20CBC">
        <w:rPr>
          <w:sz w:val="44"/>
          <w:szCs w:val="44"/>
        </w:rPr>
        <w:t>Radio Comparison</w:t>
      </w:r>
    </w:p>
    <w:p w14:paraId="023C7327" w14:textId="5A620C88" w:rsidR="00346C19" w:rsidRDefault="00000000" w:rsidP="00150992">
      <w:r>
        <w:rPr>
          <w:b/>
          <w:bCs/>
        </w:rPr>
        <w:t>Quick guidance:</w:t>
      </w:r>
      <w:r>
        <w:t xml:space="preserve"> Choose the </w:t>
      </w:r>
      <w:r w:rsidR="00BC1864">
        <w:t xml:space="preserve">VP5000 for dependable single-band P25 communications. Choose the VP8000 for advanced multi-band, multi-protocol public safety communications with enhanced audio, Wi-Fi, DMR support, and expanded channel capacity. </w:t>
      </w:r>
    </w:p>
    <w:p w14:paraId="3CE228FB" w14:textId="77777777" w:rsidR="000927B5" w:rsidRDefault="000927B5">
      <w:pPr>
        <w:pStyle w:val="Heading1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Feature Comparison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2056"/>
        <w:gridCol w:w="3647"/>
        <w:gridCol w:w="3647"/>
      </w:tblGrid>
      <w:tr w:rsidR="00516EAF" w14:paraId="644C146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" w:type="pct"/>
            <w:tcBorders>
              <w:top w:val="single" w:sz="4" w:space="0" w:color="156082"/>
              <w:left w:val="single" w:sz="4" w:space="0" w:color="156082"/>
              <w:bottom w:val="single" w:sz="4" w:space="0" w:color="156082"/>
              <w:right w:val="single" w:sz="4" w:space="0" w:color="156082"/>
            </w:tcBorders>
            <w:shd w:val="clear" w:color="auto" w:fill="156082"/>
            <w:hideMark/>
          </w:tcPr>
          <w:p w14:paraId="139BB779" w14:textId="77777777" w:rsidR="00516EAF" w:rsidRDefault="00516EAF">
            <w:pPr>
              <w:spacing w:after="0" w:line="240" w:lineRule="atLeast"/>
              <w:rPr>
                <w:color w:val="FFFFFF"/>
              </w:rPr>
            </w:pPr>
            <w:r>
              <w:rPr>
                <w:color w:val="FFFFFF"/>
              </w:rPr>
              <w:t>Feature</w:t>
            </w:r>
          </w:p>
        </w:tc>
        <w:tc>
          <w:tcPr>
            <w:tcW w:w="1950" w:type="pct"/>
            <w:tcBorders>
              <w:top w:val="single" w:sz="4" w:space="0" w:color="156082"/>
              <w:left w:val="single" w:sz="4" w:space="0" w:color="156082"/>
              <w:bottom w:val="single" w:sz="4" w:space="0" w:color="156082"/>
              <w:right w:val="single" w:sz="4" w:space="0" w:color="156082"/>
            </w:tcBorders>
            <w:shd w:val="clear" w:color="auto" w:fill="156082"/>
            <w:hideMark/>
          </w:tcPr>
          <w:p w14:paraId="57DA5A79" w14:textId="77777777" w:rsidR="00516EAF" w:rsidRDefault="00516EAF">
            <w:pPr>
              <w:spacing w:after="0" w:line="24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</w:rPr>
            </w:pPr>
            <w:r>
              <w:rPr>
                <w:color w:val="FFFFFF"/>
              </w:rPr>
              <w:t>VP5000</w:t>
            </w:r>
          </w:p>
        </w:tc>
        <w:tc>
          <w:tcPr>
            <w:tcW w:w="1950" w:type="pct"/>
            <w:tcBorders>
              <w:top w:val="single" w:sz="4" w:space="0" w:color="156082"/>
              <w:left w:val="single" w:sz="4" w:space="0" w:color="156082"/>
              <w:bottom w:val="single" w:sz="4" w:space="0" w:color="156082"/>
              <w:right w:val="single" w:sz="4" w:space="0" w:color="156082"/>
            </w:tcBorders>
            <w:shd w:val="clear" w:color="auto" w:fill="156082"/>
            <w:hideMark/>
          </w:tcPr>
          <w:p w14:paraId="6ECDB2AA" w14:textId="77777777" w:rsidR="00516EAF" w:rsidRDefault="00516EAF">
            <w:pPr>
              <w:spacing w:after="0" w:line="24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</w:rPr>
            </w:pPr>
            <w:r>
              <w:rPr>
                <w:color w:val="FFFFFF"/>
              </w:rPr>
              <w:t>VP8000</w:t>
            </w:r>
          </w:p>
        </w:tc>
      </w:tr>
      <w:tr w:rsidR="00516EAF" w14:paraId="4F52F7F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1E4F5"/>
            <w:hideMark/>
          </w:tcPr>
          <w:p w14:paraId="55B68103" w14:textId="77777777" w:rsidR="00516EAF" w:rsidRDefault="00516EAF">
            <w:pPr>
              <w:spacing w:after="0" w:line="240" w:lineRule="atLeast"/>
            </w:pPr>
            <w:r>
              <w:t>Best for</w:t>
            </w:r>
          </w:p>
        </w:tc>
        <w:tc>
          <w:tcPr>
            <w:tcW w:w="0" w:type="auto"/>
            <w:shd w:val="clear" w:color="auto" w:fill="C1E4F5"/>
            <w:hideMark/>
          </w:tcPr>
          <w:p w14:paraId="55803DA2" w14:textId="77777777" w:rsidR="00516EAF" w:rsidRDefault="00516EAF">
            <w:pPr>
              <w:spacing w:after="0"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Reliable P25 portable radio for straightforward public safety operations</w:t>
            </w:r>
          </w:p>
        </w:tc>
        <w:tc>
          <w:tcPr>
            <w:tcW w:w="0" w:type="auto"/>
            <w:shd w:val="clear" w:color="auto" w:fill="C1E4F5"/>
            <w:hideMark/>
          </w:tcPr>
          <w:p w14:paraId="33C95F1F" w14:textId="77777777" w:rsidR="00516EAF" w:rsidRDefault="00516EAF">
            <w:pPr>
              <w:spacing w:after="0"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Advanced multi-band mission critical operations and interoperability</w:t>
            </w:r>
          </w:p>
        </w:tc>
      </w:tr>
      <w:tr w:rsidR="00516EAF" w14:paraId="0A5FE91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006294" w14:textId="77777777" w:rsidR="00516EAF" w:rsidRDefault="00516EAF">
            <w:pPr>
              <w:spacing w:after="0" w:line="240" w:lineRule="atLeast"/>
            </w:pPr>
            <w:r>
              <w:t>Supported bands</w:t>
            </w:r>
          </w:p>
        </w:tc>
        <w:tc>
          <w:tcPr>
            <w:tcW w:w="0" w:type="auto"/>
            <w:hideMark/>
          </w:tcPr>
          <w:p w14:paraId="52D28E0C" w14:textId="77777777" w:rsidR="00516EAF" w:rsidRDefault="00516EAF">
            <w:pPr>
              <w:spacing w:after="0"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VHF, UHF Low/High, 700/800 MHz</w:t>
            </w:r>
          </w:p>
        </w:tc>
        <w:tc>
          <w:tcPr>
            <w:tcW w:w="0" w:type="auto"/>
            <w:hideMark/>
          </w:tcPr>
          <w:p w14:paraId="72A04ABB" w14:textId="77777777" w:rsidR="00516EAF" w:rsidRDefault="00516EAF">
            <w:pPr>
              <w:spacing w:after="0"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Multi-band VHF, UHF, and 700/800 MHz in one radio</w:t>
            </w:r>
          </w:p>
        </w:tc>
      </w:tr>
      <w:tr w:rsidR="00516EAF" w14:paraId="6311D81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1E4F5"/>
            <w:hideMark/>
          </w:tcPr>
          <w:p w14:paraId="1C7EB6B5" w14:textId="77777777" w:rsidR="00516EAF" w:rsidRDefault="00516EAF">
            <w:pPr>
              <w:spacing w:after="0" w:line="240" w:lineRule="atLeast"/>
            </w:pPr>
            <w:r>
              <w:t>Protocols</w:t>
            </w:r>
          </w:p>
        </w:tc>
        <w:tc>
          <w:tcPr>
            <w:tcW w:w="0" w:type="auto"/>
            <w:shd w:val="clear" w:color="auto" w:fill="C1E4F5"/>
            <w:hideMark/>
          </w:tcPr>
          <w:p w14:paraId="443407EF" w14:textId="77777777" w:rsidR="00516EAF" w:rsidRDefault="00516EAF">
            <w:pPr>
              <w:spacing w:after="0"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P25 Phase 1 &amp; 2 Trunking, P25 Conventional, Viking16, FM analog</w:t>
            </w:r>
          </w:p>
        </w:tc>
        <w:tc>
          <w:tcPr>
            <w:tcW w:w="0" w:type="auto"/>
            <w:shd w:val="clear" w:color="auto" w:fill="C1E4F5"/>
            <w:hideMark/>
          </w:tcPr>
          <w:p w14:paraId="1B212EEC" w14:textId="77777777" w:rsidR="00516EAF" w:rsidRDefault="00516EAF">
            <w:pPr>
              <w:spacing w:after="0"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P25 Phase 1 &amp; 2 Trunking, P25 Conventional, DMR Tier II and Tier III, Viking16, FM analog</w:t>
            </w:r>
          </w:p>
        </w:tc>
      </w:tr>
      <w:tr w:rsidR="00516EAF" w14:paraId="0E1BF5D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E9AF731" w14:textId="77777777" w:rsidR="00516EAF" w:rsidRDefault="00516EAF">
            <w:pPr>
              <w:spacing w:after="0" w:line="240" w:lineRule="atLeast"/>
            </w:pPr>
            <w:r>
              <w:t>Channel capacity</w:t>
            </w:r>
          </w:p>
        </w:tc>
        <w:tc>
          <w:tcPr>
            <w:tcW w:w="0" w:type="auto"/>
            <w:hideMark/>
          </w:tcPr>
          <w:p w14:paraId="5A09E5AC" w14:textId="77777777" w:rsidR="00516EAF" w:rsidRDefault="00516EAF">
            <w:pPr>
              <w:spacing w:after="0"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1,024 channels</w:t>
            </w:r>
          </w:p>
        </w:tc>
        <w:tc>
          <w:tcPr>
            <w:tcW w:w="0" w:type="auto"/>
            <w:hideMark/>
          </w:tcPr>
          <w:p w14:paraId="48BCCD47" w14:textId="77777777" w:rsidR="00516EAF" w:rsidRDefault="00516EAF">
            <w:pPr>
              <w:spacing w:after="0"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1,024 standard; 2,048 and 4,096 options</w:t>
            </w:r>
          </w:p>
        </w:tc>
      </w:tr>
      <w:tr w:rsidR="00516EAF" w14:paraId="71BA95F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1E4F5"/>
            <w:hideMark/>
          </w:tcPr>
          <w:p w14:paraId="61B1D7F2" w14:textId="77777777" w:rsidR="00516EAF" w:rsidRDefault="00516EAF">
            <w:pPr>
              <w:spacing w:after="0" w:line="240" w:lineRule="atLeast"/>
            </w:pPr>
            <w:r>
              <w:t>Audio</w:t>
            </w:r>
          </w:p>
        </w:tc>
        <w:tc>
          <w:tcPr>
            <w:tcW w:w="0" w:type="auto"/>
            <w:shd w:val="clear" w:color="auto" w:fill="C1E4F5"/>
            <w:hideMark/>
          </w:tcPr>
          <w:p w14:paraId="7EB63F45" w14:textId="77777777" w:rsidR="00516EAF" w:rsidRDefault="00516EAF">
            <w:pPr>
              <w:spacing w:after="0"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 watt maximum audio output</w:t>
            </w:r>
          </w:p>
        </w:tc>
        <w:tc>
          <w:tcPr>
            <w:tcW w:w="0" w:type="auto"/>
            <w:shd w:val="clear" w:color="auto" w:fill="C1E4F5"/>
            <w:hideMark/>
          </w:tcPr>
          <w:p w14:paraId="30A62A89" w14:textId="77777777" w:rsidR="00516EAF" w:rsidRDefault="00516EAF">
            <w:pPr>
              <w:spacing w:after="0"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Up to 3 watt maximum audio output</w:t>
            </w:r>
          </w:p>
        </w:tc>
      </w:tr>
      <w:tr w:rsidR="00516EAF" w14:paraId="3CAE87E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E1840E2" w14:textId="77777777" w:rsidR="00516EAF" w:rsidRDefault="00516EAF">
            <w:pPr>
              <w:spacing w:after="0" w:line="240" w:lineRule="atLeast"/>
            </w:pPr>
            <w:r>
              <w:t>Display and Interface</w:t>
            </w:r>
          </w:p>
        </w:tc>
        <w:tc>
          <w:tcPr>
            <w:tcW w:w="0" w:type="auto"/>
            <w:hideMark/>
          </w:tcPr>
          <w:p w14:paraId="237DE642" w14:textId="77777777" w:rsidR="00516EAF" w:rsidRDefault="00516EAF">
            <w:pPr>
              <w:spacing w:after="0"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Multi-line display, full-key and standard-key models available</w:t>
            </w:r>
          </w:p>
        </w:tc>
        <w:tc>
          <w:tcPr>
            <w:tcW w:w="0" w:type="auto"/>
            <w:hideMark/>
          </w:tcPr>
          <w:p w14:paraId="2FF748BF" w14:textId="77777777" w:rsidR="00516EAF" w:rsidRDefault="00516EAF">
            <w:pPr>
              <w:spacing w:after="0"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Large full-color top LCD, multi-line displays, top flip display, full keypad model</w:t>
            </w:r>
          </w:p>
        </w:tc>
      </w:tr>
      <w:tr w:rsidR="00516EAF" w14:paraId="61A7EA5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1E4F5"/>
            <w:hideMark/>
          </w:tcPr>
          <w:p w14:paraId="0EA06B75" w14:textId="77777777" w:rsidR="00516EAF" w:rsidRDefault="00516EAF">
            <w:pPr>
              <w:spacing w:after="0" w:line="240" w:lineRule="atLeast"/>
            </w:pPr>
            <w:r>
              <w:t>Connectivity</w:t>
            </w:r>
          </w:p>
        </w:tc>
        <w:tc>
          <w:tcPr>
            <w:tcW w:w="0" w:type="auto"/>
            <w:shd w:val="clear" w:color="auto" w:fill="C1E4F5"/>
            <w:hideMark/>
          </w:tcPr>
          <w:p w14:paraId="3B47265F" w14:textId="77777777" w:rsidR="00516EAF" w:rsidRDefault="00516EAF">
            <w:pPr>
              <w:spacing w:after="0"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Bluetooth and Bluetooth Low Energy</w:t>
            </w:r>
          </w:p>
        </w:tc>
        <w:tc>
          <w:tcPr>
            <w:tcW w:w="0" w:type="auto"/>
            <w:shd w:val="clear" w:color="auto" w:fill="C1E4F5"/>
            <w:hideMark/>
          </w:tcPr>
          <w:p w14:paraId="3397CD33" w14:textId="77777777" w:rsidR="00516EAF" w:rsidRDefault="00516EAF">
            <w:pPr>
              <w:spacing w:after="0"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2.4/5 GHz Wi-Fi, Bluetooth, Bluetooth Low Energy</w:t>
            </w:r>
          </w:p>
        </w:tc>
      </w:tr>
      <w:tr w:rsidR="00516EAF" w14:paraId="5869C95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1D57954" w14:textId="77777777" w:rsidR="00516EAF" w:rsidRDefault="00516EAF">
            <w:pPr>
              <w:spacing w:after="0" w:line="240" w:lineRule="atLeast"/>
            </w:pPr>
            <w:r>
              <w:t>Recording and Messaging</w:t>
            </w:r>
          </w:p>
        </w:tc>
        <w:tc>
          <w:tcPr>
            <w:tcW w:w="0" w:type="auto"/>
            <w:hideMark/>
          </w:tcPr>
          <w:p w14:paraId="759C32B3" w14:textId="77777777" w:rsidR="00516EAF" w:rsidRDefault="00516EAF">
            <w:pPr>
              <w:spacing w:after="0"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Instant Recording Replay, Voice Recording, Text Messaging</w:t>
            </w:r>
          </w:p>
        </w:tc>
        <w:tc>
          <w:tcPr>
            <w:tcW w:w="0" w:type="auto"/>
            <w:hideMark/>
          </w:tcPr>
          <w:p w14:paraId="0451FD29" w14:textId="77777777" w:rsidR="00516EAF" w:rsidRDefault="00516EAF">
            <w:pPr>
              <w:spacing w:after="0"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Instant Recording Replay, Voice Recording, Text Messaging</w:t>
            </w:r>
          </w:p>
        </w:tc>
      </w:tr>
      <w:tr w:rsidR="00516EAF" w14:paraId="5D74733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1E4F5"/>
            <w:hideMark/>
          </w:tcPr>
          <w:p w14:paraId="6D5CDD79" w14:textId="77777777" w:rsidR="00516EAF" w:rsidRDefault="00516EAF">
            <w:pPr>
              <w:spacing w:after="0" w:line="240" w:lineRule="atLeast"/>
            </w:pPr>
            <w:r>
              <w:t>Ruggedness</w:t>
            </w:r>
          </w:p>
        </w:tc>
        <w:tc>
          <w:tcPr>
            <w:tcW w:w="0" w:type="auto"/>
            <w:shd w:val="clear" w:color="auto" w:fill="C1E4F5"/>
            <w:hideMark/>
          </w:tcPr>
          <w:p w14:paraId="1EA95BE0" w14:textId="77777777" w:rsidR="00516EAF" w:rsidRDefault="00516EAF">
            <w:pPr>
              <w:spacing w:after="0"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IP67/IP68, MIL-STD-810 C/D/E/F/G</w:t>
            </w:r>
          </w:p>
        </w:tc>
        <w:tc>
          <w:tcPr>
            <w:tcW w:w="0" w:type="auto"/>
            <w:shd w:val="clear" w:color="auto" w:fill="C1E4F5"/>
            <w:hideMark/>
          </w:tcPr>
          <w:p w14:paraId="62367006" w14:textId="77777777" w:rsidR="00516EAF" w:rsidRDefault="00516EAF">
            <w:pPr>
              <w:spacing w:after="0"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IP67/IP68, MIL-STD-810 C/D/E/F/G/H</w:t>
            </w:r>
          </w:p>
        </w:tc>
      </w:tr>
      <w:tr w:rsidR="00516EAF" w14:paraId="5D99F2A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75DBED" w14:textId="77777777" w:rsidR="00516EAF" w:rsidRDefault="00516EAF">
            <w:pPr>
              <w:spacing w:after="0" w:line="240" w:lineRule="atLeast"/>
            </w:pPr>
            <w:r>
              <w:t>Encryption</w:t>
            </w:r>
          </w:p>
        </w:tc>
        <w:tc>
          <w:tcPr>
            <w:tcW w:w="0" w:type="auto"/>
            <w:hideMark/>
          </w:tcPr>
          <w:p w14:paraId="5F82FB19" w14:textId="77777777" w:rsidR="00516EAF" w:rsidRDefault="00516EAF">
            <w:pPr>
              <w:spacing w:after="0"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ARC4, DES-OFB, AES-256, OTAR</w:t>
            </w:r>
          </w:p>
        </w:tc>
        <w:tc>
          <w:tcPr>
            <w:tcW w:w="0" w:type="auto"/>
            <w:hideMark/>
          </w:tcPr>
          <w:p w14:paraId="3EE7CC6B" w14:textId="77777777" w:rsidR="00516EAF" w:rsidRDefault="00516EAF">
            <w:pPr>
              <w:spacing w:after="0"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ARC4, DES-OFB, AES-256, OTAR; up to 1,024 stored keys; tamper detection optional FIPS 140-3 options</w:t>
            </w:r>
          </w:p>
        </w:tc>
      </w:tr>
    </w:tbl>
    <w:p w14:paraId="41087E69" w14:textId="6D0BB7F1" w:rsidR="000927B5" w:rsidRDefault="000927B5">
      <w:pPr>
        <w:pStyle w:val="Heading1"/>
        <w:rPr>
          <w:rFonts w:cstheme="minorBidi"/>
        </w:rPr>
      </w:pPr>
      <w:r>
        <w:rPr>
          <w:rFonts w:cstheme="minorBidi"/>
        </w:rPr>
        <w:lastRenderedPageBreak/>
        <w:t>Which Radio Should You Choose?</w:t>
      </w:r>
    </w:p>
    <w:p w14:paraId="253903A7" w14:textId="0E07FDC9" w:rsidR="000927B5" w:rsidRDefault="000927B5">
      <w:pPr>
        <w:pStyle w:val="Heading2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Choose the V</w:t>
      </w:r>
      <w:r w:rsidR="00837836">
        <w:rPr>
          <w:rFonts w:asciiTheme="minorHAnsi" w:hAnsiTheme="minorHAnsi" w:cstheme="minorBidi"/>
        </w:rPr>
        <w:t>P</w:t>
      </w:r>
      <w:r>
        <w:rPr>
          <w:rFonts w:asciiTheme="minorHAnsi" w:hAnsiTheme="minorHAnsi" w:cstheme="minorBidi"/>
        </w:rPr>
        <w:t>5000 if simplicity matters most</w:t>
      </w:r>
    </w:p>
    <w:p w14:paraId="2CBF3994" w14:textId="61F6C3A7" w:rsidR="000927B5" w:rsidRDefault="00837836">
      <w:r>
        <w:t xml:space="preserve">The VP5000 is ideal for agencies that need reliable P25 and analog communications in a rugged, easy-to-deploy portable radio with proven encryption, GPS and recording capabilities. </w:t>
      </w:r>
    </w:p>
    <w:p w14:paraId="6E39091E" w14:textId="7709EAB1" w:rsidR="000927B5" w:rsidRDefault="000927B5">
      <w:pPr>
        <w:pStyle w:val="Heading2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Choose the V</w:t>
      </w:r>
      <w:r w:rsidR="00837836">
        <w:rPr>
          <w:rFonts w:asciiTheme="minorHAnsi" w:hAnsiTheme="minorHAnsi" w:cstheme="minorBidi"/>
        </w:rPr>
        <w:t>P8000 for interoperability and growth</w:t>
      </w:r>
    </w:p>
    <w:p w14:paraId="52013584" w14:textId="445F5389" w:rsidR="000927B5" w:rsidRDefault="000927B5">
      <w:r>
        <w:t xml:space="preserve">The </w:t>
      </w:r>
      <w:r w:rsidR="00837836">
        <w:t xml:space="preserve">VP8000 adds true multi-band capability, DMR support, higher audio output, Wi-Fi connectivity, enhanced displays, expanded channel capacity, and advanced encryption features for demanding public safety environments. </w:t>
      </w:r>
    </w:p>
    <w:p w14:paraId="4DFCC3F8" w14:textId="77777777" w:rsidR="000927B5" w:rsidRDefault="000927B5">
      <w:pPr>
        <w:pStyle w:val="Caption"/>
      </w:pPr>
      <w:r>
        <w:t>Product capabilities and available options vary by model, band, configuration, and licensing. Confirm final system compatibility, accessories, and feature licensing before purchase.</w:t>
      </w:r>
    </w:p>
    <w:sectPr w:rsidR="000927B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0F826" w14:textId="77777777" w:rsidR="002161C8" w:rsidRDefault="002161C8" w:rsidP="00D14B21">
      <w:pPr>
        <w:spacing w:after="0" w:line="240" w:lineRule="auto"/>
      </w:pPr>
      <w:r>
        <w:separator/>
      </w:r>
    </w:p>
  </w:endnote>
  <w:endnote w:type="continuationSeparator" w:id="0">
    <w:p w14:paraId="32761DEA" w14:textId="77777777" w:rsidR="002161C8" w:rsidRDefault="002161C8" w:rsidP="00D14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126C5" w14:textId="77777777" w:rsidR="00516EAF" w:rsidRDefault="00516E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1938A" w14:textId="41A3CAE7" w:rsidR="00D14B21" w:rsidRDefault="00D14B21" w:rsidP="00D14B21">
    <w:pPr>
      <w:pStyle w:val="Footer"/>
      <w:jc w:val="center"/>
    </w:pPr>
    <w:r>
      <w:rPr>
        <w:noProof/>
      </w:rPr>
      <w:drawing>
        <wp:inline distT="0" distB="0" distL="0" distR="0" wp14:anchorId="43ABE30C" wp14:editId="1CEBEE7F">
          <wp:extent cx="1205135" cy="561109"/>
          <wp:effectExtent l="0" t="0" r="0" b="0"/>
          <wp:docPr id="60609370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6093708" name="Picture 6060937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9356" cy="614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3787E84" w14:textId="77777777" w:rsidR="00D14B21" w:rsidRDefault="00D14B2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7B890" w14:textId="77777777" w:rsidR="00516EAF" w:rsidRDefault="00516E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BF24D" w14:textId="77777777" w:rsidR="002161C8" w:rsidRDefault="002161C8" w:rsidP="00D14B21">
      <w:pPr>
        <w:spacing w:after="0" w:line="240" w:lineRule="auto"/>
      </w:pPr>
      <w:r>
        <w:separator/>
      </w:r>
    </w:p>
  </w:footnote>
  <w:footnote w:type="continuationSeparator" w:id="0">
    <w:p w14:paraId="3E91F568" w14:textId="77777777" w:rsidR="002161C8" w:rsidRDefault="002161C8" w:rsidP="00D14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170AC" w14:textId="77777777" w:rsidR="00516EAF" w:rsidRDefault="00516E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0A285" w14:textId="77777777" w:rsidR="00516EAF" w:rsidRDefault="00516E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C9A1E" w14:textId="77777777" w:rsidR="00516EAF" w:rsidRDefault="00516EA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98F"/>
    <w:rsid w:val="00061C43"/>
    <w:rsid w:val="00067902"/>
    <w:rsid w:val="000927B5"/>
    <w:rsid w:val="000F7DD5"/>
    <w:rsid w:val="0012248B"/>
    <w:rsid w:val="001850A1"/>
    <w:rsid w:val="0019459A"/>
    <w:rsid w:val="002161C8"/>
    <w:rsid w:val="002B498F"/>
    <w:rsid w:val="00346C19"/>
    <w:rsid w:val="00516EAF"/>
    <w:rsid w:val="005E266B"/>
    <w:rsid w:val="005F081E"/>
    <w:rsid w:val="00776B82"/>
    <w:rsid w:val="0078318B"/>
    <w:rsid w:val="007E1D6B"/>
    <w:rsid w:val="00837836"/>
    <w:rsid w:val="008459C6"/>
    <w:rsid w:val="00A83029"/>
    <w:rsid w:val="00AF6D2C"/>
    <w:rsid w:val="00BC1864"/>
    <w:rsid w:val="00C65B73"/>
    <w:rsid w:val="00D14B21"/>
    <w:rsid w:val="00E37367"/>
    <w:rsid w:val="00ED0FE0"/>
    <w:rsid w:val="00ED5D5C"/>
    <w:rsid w:val="00F021D1"/>
    <w:rsid w:val="00F20CBC"/>
    <w:rsid w:val="00F22533"/>
    <w:rsid w:val="00FE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AAEB97"/>
  <w15:chartTrackingRefBased/>
  <w15:docId w15:val="{B4C54B1F-73CD-4CAC-B08B-CB91E1DFB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0" w:line="260" w:lineRule="atLeast"/>
    </w:pPr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498F"/>
    <w:pPr>
      <w:keepNext/>
      <w:keepLines/>
      <w:spacing w:before="240" w:after="60" w:line="440" w:lineRule="atLeast"/>
      <w:outlineLvl w:val="0"/>
    </w:pPr>
    <w:rPr>
      <w:rFonts w:ascii="Aptos Display" w:eastAsiaTheme="majorEastAsia" w:hAnsi="Aptos Display" w:cstheme="majorBidi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498F"/>
    <w:pPr>
      <w:keepNext/>
      <w:keepLines/>
      <w:spacing w:before="120" w:after="40" w:line="360" w:lineRule="atLeast"/>
      <w:outlineLvl w:val="1"/>
    </w:pPr>
    <w:rPr>
      <w:rFonts w:ascii="Aptos Display" w:eastAsiaTheme="majorEastAsia" w:hAnsi="Aptos Display" w:cstheme="majorBidi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498F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49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49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49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49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49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49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498F"/>
    <w:rPr>
      <w:rFonts w:ascii="Aptos Display" w:eastAsiaTheme="majorEastAsia" w:hAnsi="Aptos Display" w:cstheme="majorBidi"/>
      <w:color w:val="0F476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B498F"/>
    <w:rPr>
      <w:rFonts w:ascii="Aptos Display" w:eastAsiaTheme="majorEastAsia" w:hAnsi="Aptos Display" w:cstheme="majorBidi"/>
      <w:color w:val="0F476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49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49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49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49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49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49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49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498F"/>
    <w:pPr>
      <w:spacing w:after="40" w:line="600" w:lineRule="atLeast"/>
      <w:contextualSpacing/>
    </w:pPr>
    <w:rPr>
      <w:rFonts w:ascii="Aptos Display" w:eastAsiaTheme="majorEastAsia" w:hAnsi="Aptos Display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498F"/>
    <w:rPr>
      <w:rFonts w:ascii="Aptos Display" w:eastAsiaTheme="majorEastAsia" w:hAnsi="Aptos Display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498F"/>
    <w:pPr>
      <w:numPr>
        <w:ilvl w:val="1"/>
      </w:numPr>
      <w:spacing w:line="320" w:lineRule="atLeast"/>
    </w:pPr>
    <w:rPr>
      <w:rFonts w:eastAsiaTheme="majorEastAsia" w:cstheme="majorBidi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498F"/>
    <w:rPr>
      <w:rFonts w:ascii="Aptos" w:eastAsiaTheme="majorEastAsia" w:hAnsi="Aptos" w:cstheme="majorBidi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49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49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49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49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9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9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498F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2B498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2B498F"/>
    <w:pPr>
      <w:spacing w:line="220" w:lineRule="atLeast"/>
    </w:pPr>
    <w:rPr>
      <w:i/>
      <w:iCs/>
      <w:color w:val="0E2841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2B498F"/>
    <w:rPr>
      <w:i/>
      <w:iCs/>
    </w:rPr>
  </w:style>
  <w:style w:type="paragraph" w:styleId="NoSpacing">
    <w:name w:val="No Spacing"/>
    <w:uiPriority w:val="1"/>
    <w:qFormat/>
    <w:rsid w:val="002B498F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2B498F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2B498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2B498F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B498F"/>
    <w:pPr>
      <w:spacing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2B498F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table" w:styleId="GridTable4-Accent1">
    <w:name w:val="Grid Table 4 Accent 1"/>
    <w:basedOn w:val="TableNormal"/>
    <w:uiPriority w:val="49"/>
    <w:rsid w:val="000927B5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D14B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4B21"/>
  </w:style>
  <w:style w:type="paragraph" w:styleId="Footer">
    <w:name w:val="footer"/>
    <w:basedOn w:val="Normal"/>
    <w:link w:val="FooterChar"/>
    <w:uiPriority w:val="99"/>
    <w:unhideWhenUsed/>
    <w:rsid w:val="00D14B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4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wmf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EA1137FFF6E148884BF052A6578B98" ma:contentTypeVersion="5" ma:contentTypeDescription="Create a new document." ma:contentTypeScope="" ma:versionID="7bed0431aeb4ee98edeed2bbdf1ee194">
  <xsd:schema xmlns:xsd="http://www.w3.org/2001/XMLSchema" xmlns:xs="http://www.w3.org/2001/XMLSchema" xmlns:p="http://schemas.microsoft.com/office/2006/metadata/properties" xmlns:ns3="9a4bfae2-3be0-49f3-a13b-4c78276f9ac0" targetNamespace="http://schemas.microsoft.com/office/2006/metadata/properties" ma:root="true" ma:fieldsID="31833517f4c75feb47777d329e72f419" ns3:_="">
    <xsd:import namespace="9a4bfae2-3be0-49f3-a13b-4c78276f9ac0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4bfae2-3be0-49f3-a13b-4c78276f9ac0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a4bfae2-3be0-49f3-a13b-4c78276f9ac0" xsi:nil="true"/>
  </documentManagement>
</p:properties>
</file>

<file path=customXml/itemProps1.xml><?xml version="1.0" encoding="utf-8"?>
<ds:datastoreItem xmlns:ds="http://schemas.openxmlformats.org/officeDocument/2006/customXml" ds:itemID="{E6F3A8F8-E77A-4CE9-9B23-71D41078A8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4bfae2-3be0-49f3-a13b-4c78276f9a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F52B4E-0E66-4436-90A5-6812858D79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9D7BF2-CF1C-4801-A0A1-EE281FB50513}">
  <ds:schemaRefs>
    <ds:schemaRef ds:uri="http://schemas.microsoft.com/office/2006/metadata/properties"/>
    <ds:schemaRef ds:uri="http://schemas.microsoft.com/office/infopath/2007/PartnerControls"/>
    <ds:schemaRef ds:uri="9a4bfae2-3be0-49f3-a13b-4c78276f9a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300</Words>
  <Characters>1918</Characters>
  <Application>Microsoft Office Word</Application>
  <DocSecurity>0</DocSecurity>
  <Lines>137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 Rogers</dc:creator>
  <cp:keywords/>
  <dc:description/>
  <cp:lastModifiedBy>Heath Rogers</cp:lastModifiedBy>
  <cp:revision>5</cp:revision>
  <dcterms:created xsi:type="dcterms:W3CDTF">2026-09-09T18:04:00Z</dcterms:created>
  <dcterms:modified xsi:type="dcterms:W3CDTF">2026-09-10T14:07:00Z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0x0101001FEA1137FFF6E148884BF052A6578B98</vt:lpwstr>
  </property>
</Properties>
</file>